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DFB6E" w14:textId="77777777" w:rsidR="00DB65F8" w:rsidRDefault="00A65848" w:rsidP="00F15A3C">
      <w:pPr>
        <w:spacing w:line="300" w:lineRule="auto"/>
        <w:rPr>
          <w:rFonts w:ascii="Corbel" w:eastAsia="Times New Roman" w:hAnsi="Corbel" w:cs="Times New Roman"/>
          <w:b/>
          <w:bCs/>
          <w:kern w:val="0"/>
          <w:sz w:val="28"/>
          <w:szCs w:val="28"/>
          <w:lang w:eastAsia="de-AT"/>
          <w14:ligatures w14:val="none"/>
        </w:rPr>
      </w:pPr>
      <w:r w:rsidRPr="00F15A3C">
        <w:rPr>
          <w:rFonts w:ascii="Corbel" w:eastAsia="Times New Roman" w:hAnsi="Corbel" w:cs="Times New Roman"/>
          <w:b/>
          <w:bCs/>
          <w:kern w:val="0"/>
          <w:sz w:val="28"/>
          <w:szCs w:val="28"/>
          <w:lang w:eastAsia="de-AT"/>
          <w14:ligatures w14:val="none"/>
        </w:rPr>
        <w:t xml:space="preserve">Beiblatt zum </w:t>
      </w:r>
      <w:r w:rsidR="00F631F1" w:rsidRPr="00F15A3C">
        <w:rPr>
          <w:rFonts w:ascii="Corbel" w:eastAsia="Times New Roman" w:hAnsi="Corbel" w:cs="Times New Roman"/>
          <w:b/>
          <w:bCs/>
          <w:kern w:val="0"/>
          <w:sz w:val="28"/>
          <w:szCs w:val="28"/>
          <w:lang w:eastAsia="de-AT"/>
          <w14:ligatures w14:val="none"/>
        </w:rPr>
        <w:t>Rundschreiben</w:t>
      </w:r>
    </w:p>
    <w:p w14:paraId="75568BD6" w14:textId="55A215DF" w:rsidR="00F631F1" w:rsidRPr="00F15A3C" w:rsidRDefault="00F631F1" w:rsidP="00F15A3C">
      <w:pPr>
        <w:spacing w:line="300" w:lineRule="auto"/>
        <w:rPr>
          <w:rFonts w:ascii="Corbel" w:eastAsia="Times New Roman" w:hAnsi="Corbel" w:cs="Times New Roman"/>
          <w:kern w:val="0"/>
          <w:sz w:val="28"/>
          <w:szCs w:val="28"/>
          <w:lang w:eastAsia="de-AT"/>
          <w14:ligatures w14:val="none"/>
        </w:rPr>
      </w:pPr>
      <w:r w:rsidRPr="00F15A3C">
        <w:rPr>
          <w:rFonts w:ascii="Corbel" w:eastAsia="Times New Roman" w:hAnsi="Corbel" w:cs="Times New Roman"/>
          <w:b/>
          <w:bCs/>
          <w:kern w:val="0"/>
          <w:sz w:val="28"/>
          <w:szCs w:val="28"/>
          <w:lang w:eastAsia="de-AT"/>
          <w14:ligatures w14:val="none"/>
        </w:rPr>
        <w:t>Wichtige Neuerungen und Klarstellungen im Reisegebührenrecht</w:t>
      </w:r>
      <w:r w:rsidRPr="00F15A3C">
        <w:rPr>
          <w:rFonts w:ascii="Corbel" w:eastAsia="Times New Roman" w:hAnsi="Corbel" w:cs="Times New Roman"/>
          <w:kern w:val="0"/>
          <w:sz w:val="28"/>
          <w:szCs w:val="28"/>
          <w:lang w:eastAsia="de-AT"/>
          <w14:ligatures w14:val="none"/>
        </w:rPr>
        <w:t> </w:t>
      </w:r>
    </w:p>
    <w:p w14:paraId="0655F70B" w14:textId="77777777" w:rsidR="00F631F1" w:rsidRPr="00F15A3C" w:rsidRDefault="00F631F1" w:rsidP="00F15A3C">
      <w:pPr>
        <w:spacing w:line="300" w:lineRule="auto"/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</w:pPr>
    </w:p>
    <w:p w14:paraId="4454058C" w14:textId="77777777" w:rsidR="00F15A3C" w:rsidRPr="00F15A3C" w:rsidRDefault="00F15A3C" w:rsidP="00F15A3C">
      <w:pPr>
        <w:spacing w:line="300" w:lineRule="auto"/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</w:pPr>
    </w:p>
    <w:p w14:paraId="19EB5DC2" w14:textId="77777777" w:rsidR="00F631F1" w:rsidRPr="00F15A3C" w:rsidRDefault="00F631F1" w:rsidP="00F15A3C">
      <w:pPr>
        <w:spacing w:line="300" w:lineRule="auto"/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</w:pPr>
      <w:r w:rsidRPr="00F15A3C">
        <w:rPr>
          <w:rFonts w:ascii="Corbel" w:eastAsia="Times New Roman" w:hAnsi="Corbel" w:cs="Times New Roman"/>
          <w:b/>
          <w:bCs/>
          <w:kern w:val="0"/>
          <w:sz w:val="23"/>
          <w:szCs w:val="23"/>
          <w:lang w:eastAsia="de-AT"/>
          <w14:ligatures w14:val="none"/>
        </w:rPr>
        <w:t>1. Änderungen bei den Beförderungszuschüssen (gültig ab 01.08.2026)</w:t>
      </w:r>
      <w:r w:rsidRPr="00F15A3C"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  <w:t> </w:t>
      </w:r>
    </w:p>
    <w:p w14:paraId="75789731" w14:textId="77777777" w:rsidR="00F631F1" w:rsidRPr="00F15A3C" w:rsidRDefault="00F631F1" w:rsidP="00F15A3C">
      <w:pPr>
        <w:numPr>
          <w:ilvl w:val="0"/>
          <w:numId w:val="1"/>
        </w:numPr>
        <w:spacing w:before="100" w:beforeAutospacing="1" w:line="300" w:lineRule="auto"/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</w:pPr>
      <w:r w:rsidRPr="00F15A3C">
        <w:rPr>
          <w:rFonts w:ascii="Corbel" w:eastAsia="Times New Roman" w:hAnsi="Corbel" w:cs="Times New Roman"/>
          <w:b/>
          <w:bCs/>
          <w:kern w:val="0"/>
          <w:sz w:val="23"/>
          <w:szCs w:val="23"/>
          <w:lang w:eastAsia="de-AT"/>
          <w14:ligatures w14:val="none"/>
        </w:rPr>
        <w:t>Entfall des erhöhten Zuschusses:</w:t>
      </w:r>
      <w:r w:rsidRPr="00F15A3C"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  <w:t xml:space="preserve"> Der erhöhte Beförderungszuschuss gemäß § 7 Abs. 5 RGV kommt ab dem genannten Stichtag nicht mehr zur Anwendung. </w:t>
      </w:r>
    </w:p>
    <w:p w14:paraId="2E4D2A17" w14:textId="1713EA12" w:rsidR="00F631F1" w:rsidRDefault="00F631F1" w:rsidP="00F15A3C">
      <w:pPr>
        <w:numPr>
          <w:ilvl w:val="0"/>
          <w:numId w:val="1"/>
        </w:numPr>
        <w:spacing w:before="100" w:beforeAutospacing="1" w:line="300" w:lineRule="auto"/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</w:pPr>
      <w:r w:rsidRPr="00F15A3C">
        <w:rPr>
          <w:rFonts w:ascii="Corbel" w:eastAsia="Times New Roman" w:hAnsi="Corbel" w:cs="Times New Roman"/>
          <w:b/>
          <w:bCs/>
          <w:kern w:val="0"/>
          <w:sz w:val="23"/>
          <w:szCs w:val="23"/>
          <w:lang w:eastAsia="de-AT"/>
          <w14:ligatures w14:val="none"/>
        </w:rPr>
        <w:t>Neuer Jahresdeckel:</w:t>
      </w:r>
      <w:r w:rsidRPr="00F15A3C"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  <w:t xml:space="preserve"> Die jährliche Höchstgrenze für Beförderungszuschüsse gemäß § 7 Abs. 6 RGV wird auf den Betrag des Klimatickets Ö Classic (derzeit 1.400,00 Euro) abgesenkt.</w:t>
      </w:r>
    </w:p>
    <w:p w14:paraId="23BD95A4" w14:textId="77777777" w:rsidR="00F15A3C" w:rsidRPr="00F15A3C" w:rsidRDefault="00F15A3C" w:rsidP="00F15A3C">
      <w:pPr>
        <w:spacing w:before="100" w:beforeAutospacing="1" w:line="300" w:lineRule="auto"/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</w:pPr>
    </w:p>
    <w:p w14:paraId="598679E0" w14:textId="6FA7737E" w:rsidR="00F15A3C" w:rsidRDefault="00F631F1" w:rsidP="00F15A3C">
      <w:pPr>
        <w:spacing w:line="300" w:lineRule="auto"/>
        <w:rPr>
          <w:rFonts w:ascii="Corbel" w:eastAsia="Times New Roman" w:hAnsi="Corbel" w:cs="Times New Roman"/>
          <w:b/>
          <w:bCs/>
          <w:kern w:val="0"/>
          <w:sz w:val="23"/>
          <w:szCs w:val="23"/>
          <w:lang w:eastAsia="de-AT"/>
          <w14:ligatures w14:val="none"/>
        </w:rPr>
      </w:pPr>
      <w:r w:rsidRPr="00F15A3C">
        <w:rPr>
          <w:rFonts w:ascii="Corbel" w:eastAsia="Times New Roman" w:hAnsi="Corbel" w:cs="Times New Roman"/>
          <w:b/>
          <w:bCs/>
          <w:kern w:val="0"/>
          <w:sz w:val="23"/>
          <w:szCs w:val="23"/>
          <w:lang w:eastAsia="de-AT"/>
          <w14:ligatures w14:val="none"/>
        </w:rPr>
        <w:t>2. Wichtige Vorgaben für Hotelrechnungen bei Schulveranstaltungen bzw. Dienstreisen</w:t>
      </w:r>
      <w:r w:rsidR="004C5E3F">
        <w:rPr>
          <w:rFonts w:ascii="Corbel" w:eastAsia="Times New Roman" w:hAnsi="Corbel" w:cs="Times New Roman"/>
          <w:b/>
          <w:bCs/>
          <w:kern w:val="0"/>
          <w:sz w:val="23"/>
          <w:szCs w:val="23"/>
          <w:lang w:eastAsia="de-AT"/>
          <w14:ligatures w14:val="none"/>
        </w:rPr>
        <w:t xml:space="preserve"> (siehe auch aktuelles Rundschreiben Seite 12)</w:t>
      </w:r>
    </w:p>
    <w:p w14:paraId="38E04297" w14:textId="77777777" w:rsidR="00F15A3C" w:rsidRDefault="00F15A3C" w:rsidP="00F15A3C">
      <w:pPr>
        <w:spacing w:line="300" w:lineRule="auto"/>
        <w:rPr>
          <w:rFonts w:ascii="Corbel" w:eastAsia="Times New Roman" w:hAnsi="Corbel" w:cs="Times New Roman"/>
          <w:b/>
          <w:bCs/>
          <w:kern w:val="0"/>
          <w:sz w:val="23"/>
          <w:szCs w:val="23"/>
          <w:lang w:eastAsia="de-AT"/>
          <w14:ligatures w14:val="none"/>
        </w:rPr>
      </w:pPr>
    </w:p>
    <w:p w14:paraId="61546E6C" w14:textId="16FE67C9" w:rsidR="00F631F1" w:rsidRPr="00F15A3C" w:rsidRDefault="00F631F1" w:rsidP="00F15A3C">
      <w:pPr>
        <w:spacing w:line="300" w:lineRule="auto"/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</w:pPr>
      <w:r w:rsidRPr="00F15A3C"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  <w:t>Aufgrund wiederholter Unklarheiten weisen wir ausdrücklich auf die formalen Kriterien für Unterkunftsrechnungen hin: </w:t>
      </w:r>
    </w:p>
    <w:p w14:paraId="7F1D1CAB" w14:textId="77777777" w:rsidR="00F631F1" w:rsidRPr="00F15A3C" w:rsidRDefault="00F631F1" w:rsidP="00F15A3C">
      <w:pPr>
        <w:numPr>
          <w:ilvl w:val="0"/>
          <w:numId w:val="2"/>
        </w:numPr>
        <w:spacing w:before="100" w:beforeAutospacing="1" w:line="300" w:lineRule="auto"/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</w:pPr>
      <w:r w:rsidRPr="00F15A3C">
        <w:rPr>
          <w:rFonts w:ascii="Corbel" w:eastAsia="Times New Roman" w:hAnsi="Corbel" w:cs="Times New Roman"/>
          <w:b/>
          <w:bCs/>
          <w:kern w:val="0"/>
          <w:sz w:val="23"/>
          <w:szCs w:val="23"/>
          <w:lang w:eastAsia="de-AT"/>
          <w14:ligatures w14:val="none"/>
        </w:rPr>
        <w:t>Detaillierung:</w:t>
      </w:r>
      <w:r w:rsidRPr="00F15A3C"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  <w:t xml:space="preserve"> Auf der Gesamtabrechnung müssen die Positionen für Nächtigung und Verpflegung zwingend getrennt bzw. einzeln aufgeschlüsselt aufscheinen. </w:t>
      </w:r>
    </w:p>
    <w:p w14:paraId="1AE1BA7E" w14:textId="77777777" w:rsidR="00F631F1" w:rsidRPr="00F15A3C" w:rsidRDefault="00F631F1" w:rsidP="00F15A3C">
      <w:pPr>
        <w:numPr>
          <w:ilvl w:val="0"/>
          <w:numId w:val="2"/>
        </w:numPr>
        <w:spacing w:before="100" w:beforeAutospacing="1" w:line="300" w:lineRule="auto"/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</w:pPr>
      <w:r w:rsidRPr="00F15A3C">
        <w:rPr>
          <w:rFonts w:ascii="Corbel" w:eastAsia="Times New Roman" w:hAnsi="Corbel" w:cs="Times New Roman"/>
          <w:b/>
          <w:bCs/>
          <w:kern w:val="0"/>
          <w:sz w:val="23"/>
          <w:szCs w:val="23"/>
          <w:lang w:eastAsia="de-AT"/>
          <w14:ligatures w14:val="none"/>
        </w:rPr>
        <w:t>Formvorschrift:</w:t>
      </w:r>
      <w:r w:rsidRPr="00F15A3C"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  <w:t xml:space="preserve"> Formlose Bestätigungen sowie handgeschriebene Rechnungen sind nicht zulässig und können nicht anerkannt werden. </w:t>
      </w:r>
    </w:p>
    <w:p w14:paraId="60BC3CAD" w14:textId="442E4427" w:rsidR="00F631F1" w:rsidRDefault="00F631F1" w:rsidP="00F15A3C">
      <w:pPr>
        <w:numPr>
          <w:ilvl w:val="0"/>
          <w:numId w:val="2"/>
        </w:numPr>
        <w:spacing w:before="100" w:beforeAutospacing="1" w:line="300" w:lineRule="auto"/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</w:pPr>
      <w:r w:rsidRPr="00F15A3C">
        <w:rPr>
          <w:rFonts w:ascii="Corbel" w:eastAsia="Times New Roman" w:hAnsi="Corbel" w:cs="Times New Roman"/>
          <w:b/>
          <w:bCs/>
          <w:kern w:val="0"/>
          <w:sz w:val="23"/>
          <w:szCs w:val="23"/>
          <w:lang w:eastAsia="de-AT"/>
          <w14:ligatures w14:val="none"/>
        </w:rPr>
        <w:t>Kürzung der Tagesgebühr:</w:t>
      </w:r>
      <w:r w:rsidRPr="00F15A3C"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  <w:t xml:space="preserve"> Wird auf der Rechnung eine Vollpension ausgewiesen oder ein Freiplatz für Begleitpersonen gewährt, erfolgt eine entsprechende Kürzung der Tagesgebühr.</w:t>
      </w:r>
    </w:p>
    <w:p w14:paraId="21CB836C" w14:textId="77777777" w:rsidR="00F15A3C" w:rsidRPr="00F15A3C" w:rsidRDefault="00F15A3C" w:rsidP="00F15A3C">
      <w:pPr>
        <w:spacing w:before="100" w:beforeAutospacing="1" w:line="300" w:lineRule="auto"/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</w:pPr>
    </w:p>
    <w:p w14:paraId="268BF4DF" w14:textId="6D3A57C8" w:rsidR="00F15A3C" w:rsidRDefault="00F631F1" w:rsidP="00F15A3C">
      <w:pPr>
        <w:spacing w:line="300" w:lineRule="auto"/>
        <w:rPr>
          <w:rFonts w:ascii="Corbel" w:eastAsia="Times New Roman" w:hAnsi="Corbel" w:cs="Times New Roman"/>
          <w:b/>
          <w:bCs/>
          <w:kern w:val="0"/>
          <w:sz w:val="23"/>
          <w:szCs w:val="23"/>
          <w:lang w:eastAsia="de-AT"/>
          <w14:ligatures w14:val="none"/>
        </w:rPr>
      </w:pPr>
      <w:r w:rsidRPr="00F15A3C">
        <w:rPr>
          <w:rFonts w:ascii="Corbel" w:eastAsia="Times New Roman" w:hAnsi="Corbel" w:cs="Times New Roman"/>
          <w:b/>
          <w:bCs/>
          <w:kern w:val="0"/>
          <w:sz w:val="23"/>
          <w:szCs w:val="23"/>
          <w:lang w:eastAsia="de-AT"/>
          <w14:ligatures w14:val="none"/>
        </w:rPr>
        <w:t>3. Umstellung auf elektronische Reiserechnung (</w:t>
      </w:r>
      <w:r w:rsidR="00F15A3C">
        <w:rPr>
          <w:rFonts w:ascii="Corbel" w:eastAsia="Times New Roman" w:hAnsi="Corbel" w:cs="Times New Roman"/>
          <w:b/>
          <w:bCs/>
          <w:kern w:val="0"/>
          <w:sz w:val="23"/>
          <w:szCs w:val="23"/>
          <w:lang w:eastAsia="de-AT"/>
          <w14:ligatures w14:val="none"/>
        </w:rPr>
        <w:t>g</w:t>
      </w:r>
      <w:r w:rsidRPr="00F15A3C">
        <w:rPr>
          <w:rFonts w:ascii="Corbel" w:eastAsia="Times New Roman" w:hAnsi="Corbel" w:cs="Times New Roman"/>
          <w:b/>
          <w:bCs/>
          <w:kern w:val="0"/>
          <w:sz w:val="23"/>
          <w:szCs w:val="23"/>
          <w:lang w:eastAsia="de-AT"/>
          <w14:ligatures w14:val="none"/>
        </w:rPr>
        <w:t>ilt nur für APS)</w:t>
      </w:r>
    </w:p>
    <w:p w14:paraId="7899ED37" w14:textId="77777777" w:rsidR="00F15A3C" w:rsidRDefault="00F15A3C" w:rsidP="00F15A3C">
      <w:pPr>
        <w:spacing w:line="300" w:lineRule="auto"/>
        <w:rPr>
          <w:rFonts w:ascii="Corbel" w:eastAsia="Times New Roman" w:hAnsi="Corbel" w:cs="Times New Roman"/>
          <w:b/>
          <w:bCs/>
          <w:kern w:val="0"/>
          <w:sz w:val="23"/>
          <w:szCs w:val="23"/>
          <w:lang w:eastAsia="de-AT"/>
          <w14:ligatures w14:val="none"/>
        </w:rPr>
      </w:pPr>
    </w:p>
    <w:p w14:paraId="3070AEF0" w14:textId="623DD179" w:rsidR="00F631F1" w:rsidRPr="00F15A3C" w:rsidRDefault="00F631F1" w:rsidP="00F15A3C">
      <w:pPr>
        <w:spacing w:line="300" w:lineRule="auto"/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</w:pPr>
      <w:r w:rsidRPr="00F15A3C"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  <w:t>Bitte beachten Sie die organisatorische Umstellung für den Bereich der Allgemeinbildenden Pflichtschulen (APS):</w:t>
      </w:r>
      <w:r w:rsidRPr="00F15A3C"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  <w:br/>
        <w:t xml:space="preserve">Ab dem </w:t>
      </w:r>
      <w:r w:rsidRPr="00F15A3C">
        <w:rPr>
          <w:rFonts w:ascii="Corbel" w:eastAsia="Times New Roman" w:hAnsi="Corbel" w:cs="Times New Roman"/>
          <w:b/>
          <w:bCs/>
          <w:kern w:val="0"/>
          <w:sz w:val="23"/>
          <w:szCs w:val="23"/>
          <w:lang w:eastAsia="de-AT"/>
          <w14:ligatures w14:val="none"/>
        </w:rPr>
        <w:t>Schuljahr 2027/28</w:t>
      </w:r>
      <w:r w:rsidRPr="00F15A3C"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  <w:t xml:space="preserve"> sind alle Schulveranstaltungen ausschließlich mittels der elektronischen Reiserechnung einzureichen. Nach diesem Zeitpunkt können Papierrechnungen nicht mehr entgegengenommen oder bearbeitet werden. </w:t>
      </w:r>
    </w:p>
    <w:p w14:paraId="280FBB7A" w14:textId="33559F99" w:rsidR="00CB7BBC" w:rsidRPr="00F15A3C" w:rsidRDefault="00F631F1" w:rsidP="00F15A3C">
      <w:pPr>
        <w:spacing w:line="300" w:lineRule="auto"/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</w:pPr>
      <w:r w:rsidRPr="00F15A3C">
        <w:rPr>
          <w:rFonts w:ascii="Corbel" w:eastAsia="Times New Roman" w:hAnsi="Corbel" w:cs="Times New Roman"/>
          <w:kern w:val="0"/>
          <w:sz w:val="23"/>
          <w:szCs w:val="23"/>
          <w:lang w:eastAsia="de-AT"/>
          <w14:ligatures w14:val="none"/>
        </w:rPr>
        <w:t>Wir bitten um Beachtung dieser neuen Richtlinien bei Ihren zukünftigen Abrechnungen. </w:t>
      </w:r>
    </w:p>
    <w:sectPr w:rsidR="00CB7BBC" w:rsidRPr="00F15A3C" w:rsidSect="00F15A3C">
      <w:headerReference w:type="default" r:id="rId7"/>
      <w:pgSz w:w="11906" w:h="16838"/>
      <w:pgMar w:top="311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D5F86" w14:textId="77777777" w:rsidR="00F03225" w:rsidRDefault="00F03225" w:rsidP="00F15A3C">
      <w:r>
        <w:separator/>
      </w:r>
    </w:p>
  </w:endnote>
  <w:endnote w:type="continuationSeparator" w:id="0">
    <w:p w14:paraId="4F7B8A9A" w14:textId="77777777" w:rsidR="00F03225" w:rsidRDefault="00F03225" w:rsidP="00F15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7C179" w14:textId="77777777" w:rsidR="00F03225" w:rsidRDefault="00F03225" w:rsidP="00F15A3C">
      <w:r>
        <w:separator/>
      </w:r>
    </w:p>
  </w:footnote>
  <w:footnote w:type="continuationSeparator" w:id="0">
    <w:p w14:paraId="0721B449" w14:textId="77777777" w:rsidR="00F03225" w:rsidRDefault="00F03225" w:rsidP="00F15A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60EC4" w14:textId="1424DB42" w:rsidR="00F15A3C" w:rsidRPr="00390CDA" w:rsidRDefault="00F15A3C" w:rsidP="00F15A3C">
    <w:pPr>
      <w:pStyle w:val="AbsNACH"/>
      <w:spacing w:before="800"/>
      <w:jc w:val="right"/>
      <w:rPr>
        <w:rFonts w:cs="Calibri"/>
        <w:color w:val="7F7F7F"/>
        <w:sz w:val="23"/>
        <w:szCs w:val="23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17CF71C" wp14:editId="610D9560">
          <wp:simplePos x="0" y="0"/>
          <wp:positionH relativeFrom="margin">
            <wp:align>left</wp:align>
          </wp:positionH>
          <wp:positionV relativeFrom="paragraph">
            <wp:posOffset>250190</wp:posOffset>
          </wp:positionV>
          <wp:extent cx="2628900" cy="628015"/>
          <wp:effectExtent l="0" t="0" r="0" b="635"/>
          <wp:wrapTight wrapText="bothSides">
            <wp:wrapPolygon edited="0">
              <wp:start x="0" y="0"/>
              <wp:lineTo x="0" y="20967"/>
              <wp:lineTo x="21443" y="20967"/>
              <wp:lineTo x="21443" y="0"/>
              <wp:lineTo x="0" y="0"/>
            </wp:wrapPolygon>
          </wp:wrapTight>
          <wp:docPr id="86155304" name="Grafik 1" descr="N:\Alle\edv\bildungsdirektion\Oberösterreich\Office\Bildungsdirektion_OOE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N:\Alle\edv\bildungsdirektion\Oberösterreich\Office\Bildungsdirektion_OOE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2" w:history="1">
      <w:r w:rsidRPr="00390CDA">
        <w:rPr>
          <w:rStyle w:val="Hyperlink"/>
          <w:rFonts w:cs="Calibri"/>
          <w:color w:val="7F7F7F"/>
          <w:sz w:val="23"/>
          <w:szCs w:val="23"/>
          <w:u w:val="none"/>
        </w:rPr>
        <w:t>www.bildung</w:t>
      </w:r>
    </w:hyperlink>
    <w:r w:rsidRPr="00390CDA">
      <w:rPr>
        <w:rFonts w:cs="Calibri"/>
        <w:color w:val="7F7F7F"/>
        <w:sz w:val="23"/>
        <w:szCs w:val="23"/>
      </w:rPr>
      <w:t>-ooe.gv.at</w:t>
    </w:r>
  </w:p>
  <w:p w14:paraId="41D12DA0" w14:textId="77777777" w:rsidR="00F15A3C" w:rsidRPr="00390CDA" w:rsidRDefault="00F15A3C" w:rsidP="00F15A3C">
    <w:pPr>
      <w:pStyle w:val="AbsNACH"/>
      <w:spacing w:after="60"/>
      <w:ind w:left="-108"/>
      <w:jc w:val="right"/>
      <w:rPr>
        <w:rFonts w:cs="Calibri"/>
        <w:color w:val="7F7F7F"/>
        <w:sz w:val="14"/>
        <w:szCs w:val="14"/>
      </w:rPr>
    </w:pPr>
  </w:p>
  <w:p w14:paraId="10D0245A" w14:textId="77777777" w:rsidR="00F15A3C" w:rsidRPr="00390CDA" w:rsidRDefault="00F15A3C" w:rsidP="00F15A3C">
    <w:pPr>
      <w:pStyle w:val="AbsNACH"/>
      <w:spacing w:after="0"/>
      <w:jc w:val="right"/>
      <w:rPr>
        <w:rFonts w:cs="Arial"/>
        <w:b/>
        <w:szCs w:val="17"/>
      </w:rPr>
    </w:pPr>
    <w:r>
      <w:rPr>
        <w:rFonts w:cs="Arial"/>
        <w:b/>
        <w:szCs w:val="17"/>
      </w:rPr>
      <w:t>Referat Präs/4e (Reisemanagement)</w:t>
    </w:r>
  </w:p>
  <w:p w14:paraId="4E453D63" w14:textId="43078FCF" w:rsidR="00F15A3C" w:rsidRPr="00F15A3C" w:rsidRDefault="00F15A3C" w:rsidP="00F15A3C">
    <w:pPr>
      <w:pStyle w:val="AbsNACH"/>
      <w:jc w:val="right"/>
      <w:rPr>
        <w:rFonts w:cs="Arial"/>
        <w:szCs w:val="17"/>
      </w:rPr>
    </w:pPr>
    <w:r w:rsidRPr="00390CDA">
      <w:rPr>
        <w:rFonts w:cs="Arial"/>
        <w:szCs w:val="17"/>
      </w:rPr>
      <w:t>Sonnensteinstraße 20, 4040 Linz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B0263"/>
    <w:multiLevelType w:val="multilevel"/>
    <w:tmpl w:val="949A7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CB44F7"/>
    <w:multiLevelType w:val="multilevel"/>
    <w:tmpl w:val="EFFC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2343311">
    <w:abstractNumId w:val="1"/>
  </w:num>
  <w:num w:numId="2" w16cid:durableId="1999460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dDocID" w:val="426492963"/>
  </w:docVars>
  <w:rsids>
    <w:rsidRoot w:val="00F631F1"/>
    <w:rsid w:val="000951B6"/>
    <w:rsid w:val="0018245F"/>
    <w:rsid w:val="001A1D0E"/>
    <w:rsid w:val="0030146B"/>
    <w:rsid w:val="00336120"/>
    <w:rsid w:val="00415CD4"/>
    <w:rsid w:val="004C5E3F"/>
    <w:rsid w:val="00556724"/>
    <w:rsid w:val="005603EE"/>
    <w:rsid w:val="00583E6A"/>
    <w:rsid w:val="00746002"/>
    <w:rsid w:val="007A5674"/>
    <w:rsid w:val="007B66C4"/>
    <w:rsid w:val="007C65B4"/>
    <w:rsid w:val="008865A2"/>
    <w:rsid w:val="00917CE6"/>
    <w:rsid w:val="00990F32"/>
    <w:rsid w:val="009B01B2"/>
    <w:rsid w:val="00A65848"/>
    <w:rsid w:val="00AD7B73"/>
    <w:rsid w:val="00CB7BBC"/>
    <w:rsid w:val="00DB65F8"/>
    <w:rsid w:val="00ED575D"/>
    <w:rsid w:val="00F03225"/>
    <w:rsid w:val="00F15A3C"/>
    <w:rsid w:val="00F503E2"/>
    <w:rsid w:val="00F6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C7F5AD"/>
  <w15:chartTrackingRefBased/>
  <w15:docId w15:val="{767EE336-9A50-4261-95A7-4CE8BB2CE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59" w:unhideWhenUsed="1" w:qFormat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B01B2"/>
    <w:pPr>
      <w:spacing w:after="0" w:line="240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B01B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B01B2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B7BBC"/>
    <w:pPr>
      <w:keepNext/>
      <w:keepLines/>
      <w:spacing w:before="20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CB7BBC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CB7BBC"/>
    <w:pPr>
      <w:keepNext/>
      <w:keepLines/>
      <w:spacing w:before="20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CB7BBC"/>
    <w:pPr>
      <w:keepNext/>
      <w:keepLines/>
      <w:spacing w:before="200"/>
      <w:outlineLvl w:val="5"/>
    </w:pPr>
    <w:rPr>
      <w:rFonts w:eastAsiaTheme="majorEastAsia" w:cstheme="majorBidi"/>
      <w:i/>
      <w:iCs/>
      <w:color w:val="000000" w:themeColor="text1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631F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631F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631F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B01B2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B01B2"/>
    <w:rPr>
      <w:rFonts w:ascii="Arial" w:eastAsiaTheme="majorEastAsia" w:hAnsi="Arial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rsid w:val="009B01B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B01B2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rsid w:val="009B01B2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B01B2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styleId="IntensiveHervorhebung">
    <w:name w:val="Intense Emphasis"/>
    <w:basedOn w:val="Absatz-Standardschriftart"/>
    <w:uiPriority w:val="21"/>
    <w:rsid w:val="009B01B2"/>
    <w:rPr>
      <w:b/>
      <w:bCs/>
      <w:i/>
      <w:iCs/>
      <w:color w:val="auto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9B01B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B01B2"/>
    <w:rPr>
      <w:rFonts w:ascii="Arial" w:hAnsi="Arial"/>
      <w:b/>
      <w:bCs/>
      <w:i/>
      <w:iCs/>
    </w:rPr>
  </w:style>
  <w:style w:type="character" w:styleId="SchwacherVerweis">
    <w:name w:val="Subtle Reference"/>
    <w:basedOn w:val="Absatz-Standardschriftart"/>
    <w:uiPriority w:val="31"/>
    <w:rsid w:val="009B01B2"/>
    <w:rPr>
      <w:smallCaps/>
      <w:color w:val="auto"/>
      <w:u w:val="single"/>
    </w:rPr>
  </w:style>
  <w:style w:type="character" w:styleId="IntensiverVerweis">
    <w:name w:val="Intense Reference"/>
    <w:basedOn w:val="Absatz-Standardschriftart"/>
    <w:uiPriority w:val="32"/>
    <w:rsid w:val="009B01B2"/>
    <w:rPr>
      <w:b/>
      <w:bCs/>
      <w:smallCaps/>
      <w:color w:val="auto"/>
      <w:spacing w:val="5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B7BBC"/>
    <w:rPr>
      <w:rFonts w:ascii="Arial" w:eastAsiaTheme="majorEastAsia" w:hAnsi="Arial" w:cstheme="majorBidi"/>
      <w:b/>
      <w:b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CB7BBC"/>
    <w:rPr>
      <w:rFonts w:ascii="Arial" w:eastAsiaTheme="majorEastAsia" w:hAnsi="Arial" w:cstheme="majorBidi"/>
      <w:b/>
      <w:bCs/>
      <w:i/>
      <w:iCs/>
      <w:color w:val="000000" w:themeColor="text1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CB7BBC"/>
    <w:rPr>
      <w:rFonts w:ascii="Arial" w:eastAsiaTheme="majorEastAsia" w:hAnsi="Arial" w:cstheme="majorBidi"/>
      <w:color w:val="000000" w:themeColor="text1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CB7BBC"/>
    <w:rPr>
      <w:rFonts w:ascii="Arial" w:eastAsiaTheme="majorEastAsia" w:hAnsi="Arial" w:cstheme="majorBidi"/>
      <w:i/>
      <w:iCs/>
      <w:color w:val="000000" w:themeColor="text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631F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631F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631F1"/>
    <w:rPr>
      <w:rFonts w:eastAsiaTheme="majorEastAsia" w:cstheme="majorBidi"/>
      <w:color w:val="272727" w:themeColor="text1" w:themeTint="D8"/>
    </w:rPr>
  </w:style>
  <w:style w:type="paragraph" w:styleId="Zitat">
    <w:name w:val="Quote"/>
    <w:basedOn w:val="Standard"/>
    <w:next w:val="Standard"/>
    <w:link w:val="ZitatZchn"/>
    <w:uiPriority w:val="29"/>
    <w:rsid w:val="00F631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631F1"/>
    <w:rPr>
      <w:rFonts w:ascii="Arial" w:hAnsi="Arial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rsid w:val="00F631F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15A3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15A3C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F15A3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15A3C"/>
    <w:rPr>
      <w:rFonts w:ascii="Arial" w:hAnsi="Arial"/>
    </w:rPr>
  </w:style>
  <w:style w:type="character" w:styleId="Hyperlink">
    <w:name w:val="Hyperlink"/>
    <w:uiPriority w:val="59"/>
    <w:qFormat/>
    <w:rsid w:val="00F15A3C"/>
    <w:rPr>
      <w:color w:val="auto"/>
      <w:u w:val="single"/>
    </w:rPr>
  </w:style>
  <w:style w:type="paragraph" w:customStyle="1" w:styleId="AbsNACH">
    <w:name w:val="Abs+NACH"/>
    <w:basedOn w:val="Standard"/>
    <w:uiPriority w:val="49"/>
    <w:qFormat/>
    <w:rsid w:val="00F15A3C"/>
    <w:pPr>
      <w:spacing w:after="220" w:line="220" w:lineRule="exact"/>
    </w:pPr>
    <w:rPr>
      <w:rFonts w:ascii="Corbel" w:eastAsia="Times New Roman" w:hAnsi="Corbel" w:cs="Times New Roman"/>
      <w:kern w:val="0"/>
      <w:sz w:val="17"/>
      <w:szCs w:val="20"/>
      <w:lang w:val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ildun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1451</Characters>
  <Application>Microsoft Office Word</Application>
  <DocSecurity>0</DocSecurity>
  <Lines>12</Lines>
  <Paragraphs>3</Paragraphs>
  <ScaleCrop>false</ScaleCrop>
  <Company>Land Oberösterreich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Neißl, Alexandra</dc:creator>
  <cp:keywords/>
  <dc:description/>
  <cp:lastModifiedBy>Schinnerl, Birgit</cp:lastModifiedBy>
  <cp:revision>5</cp:revision>
  <dcterms:created xsi:type="dcterms:W3CDTF">2026-09-15T17:11:00Z</dcterms:created>
  <dcterms:modified xsi:type="dcterms:W3CDTF">2026-10-15T06:44:00Z</dcterms:modified>
</cp:coreProperties>
</file>